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3C" w:rsidRDefault="00E9663C" w:rsidP="00E9663C"/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TEHNIČAR ZA </w:t>
      </w:r>
      <w:r w:rsidR="005B0868">
        <w:rPr>
          <w:rFonts w:ascii="Calibri" w:eastAsia="Times New Roman" w:hAnsi="Calibri" w:cs="Calibri"/>
          <w:b/>
          <w:sz w:val="44"/>
          <w:szCs w:val="44"/>
          <w:lang w:eastAsia="hr-HR"/>
        </w:rPr>
        <w:t>ELEKTRONIKU</w:t>
      </w:r>
    </w:p>
    <w:p w:rsidR="000B0234" w:rsidRDefault="000B0234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Elektrotehnika i računalstvo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E9663C" w:rsidRPr="00784CB1" w:rsidRDefault="00E9663C" w:rsidP="00E9663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Pr="00D77E85">
        <w:rPr>
          <w:rFonts w:ascii="Calibri" w:eastAsia="Calibri" w:hAnsi="Calibri" w:cs="Calibri"/>
          <w:sz w:val="24"/>
          <w:szCs w:val="24"/>
          <w:lang w:eastAsia="hr-HR"/>
        </w:rPr>
        <w:t>1</w:t>
      </w:r>
      <w:r>
        <w:rPr>
          <w:rFonts w:ascii="Calibri" w:eastAsia="Calibri" w:hAnsi="Calibri" w:cs="Calibri"/>
          <w:sz w:val="24"/>
          <w:szCs w:val="24"/>
          <w:lang w:eastAsia="hr-HR"/>
        </w:rPr>
        <w:t>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BF4817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280AA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BF4817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7272E" w:rsidRDefault="00E9663C" w:rsidP="007727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7272E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utvrđuju se razlike strukovnih predmeta između programa obrazovanja već stečenog zanimanja (program srednje škole koji se izvodi prema nastavnome planu i programu) i programa obrazovanja za stjecanje strukovne kvalifikacije </w:t>
      </w:r>
      <w:r w:rsidRPr="0077272E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BF4817" w:rsidRPr="0077272E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77272E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Također je potrebno utvrditi moguće sadržajne razlike općeobrazovnog, strukovnog i praktičnog dijela nastave.</w:t>
      </w:r>
    </w:p>
    <w:p w:rsidR="00E9663C" w:rsidRPr="0077272E" w:rsidRDefault="00E9663C" w:rsidP="007727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7272E" w:rsidRDefault="00E9663C" w:rsidP="007727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7272E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koja utvrđuje razlike između programa ili dijela programa obrazovanja koji je polaznik već uspješno savladao i programa obrazovanja za stjecanje strukovne kvalifikacije </w:t>
      </w:r>
      <w:r w:rsidRPr="0077272E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BF4817" w:rsidRPr="0077272E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77272E">
        <w:rPr>
          <w:rFonts w:ascii="Calibri" w:eastAsia="Times New Roman" w:hAnsi="Calibri" w:cs="Calibri"/>
          <w:sz w:val="24"/>
          <w:szCs w:val="24"/>
          <w:lang w:eastAsia="hr-HR"/>
        </w:rPr>
        <w:t xml:space="preserve"> iz koje je vidljivo koji se predmeti i obrazovni sadržaji priznaju te koji se predmeti i obrazovni sadržaji uključuju u program nastavka obrazovanja odnosno prekvalifikacije.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0F0DDB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BA1CE5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645005" w:rsidRPr="00E44D8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2 </w:t>
      </w:r>
      <w:r w:rsidR="003F205E" w:rsidRPr="00E44D8E">
        <w:rPr>
          <w:rFonts w:ascii="Calibri" w:eastAsia="Times New Roman" w:hAnsi="Calibri" w:cs="Calibri"/>
          <w:b/>
          <w:sz w:val="24"/>
          <w:szCs w:val="24"/>
          <w:lang w:eastAsia="hr-HR"/>
        </w:rPr>
        <w:t>970</w:t>
      </w:r>
      <w:r w:rsidRPr="00E44D8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sati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dopisno-konzultativnom nastavom općeobrazovni dio, a posebni strukovni i izborni dio isključivo konzultativno-instruktivnom nastavom.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44D8E">
        <w:rPr>
          <w:rFonts w:ascii="Calibri" w:eastAsia="Times New Roman" w:hAnsi="Calibri" w:cs="Calibri"/>
          <w:sz w:val="24"/>
          <w:szCs w:val="24"/>
          <w:lang w:eastAsia="hr-HR"/>
        </w:rPr>
        <w:t>B</w:t>
      </w:r>
      <w:r w:rsidR="00E44D8E" w:rsidRPr="00E44D8E">
        <w:rPr>
          <w:rFonts w:ascii="Calibri" w:eastAsia="Times New Roman" w:hAnsi="Calibri" w:cs="Calibri"/>
          <w:sz w:val="24"/>
          <w:szCs w:val="24"/>
          <w:lang w:eastAsia="hr-HR"/>
        </w:rPr>
        <w:t xml:space="preserve">roj sati svakog pojedinog teorijskog općeobrazovnog predmeta iznosi 50% od broja nastavnih sati propisanih nastavnim planom za redovito obrazovanje, kao i kod većine strukovnih predmeta, osim pojedinih strukovnih predmeta koji se provode u satnici 100% kao u redovitom obrazovanju, dok se </w:t>
      </w:r>
      <w:r w:rsidR="00D71082">
        <w:rPr>
          <w:rFonts w:ascii="Calibri" w:eastAsia="Times New Roman" w:hAnsi="Calibri" w:cs="Calibri"/>
          <w:sz w:val="24"/>
          <w:szCs w:val="24"/>
          <w:lang w:eastAsia="hr-HR"/>
        </w:rPr>
        <w:t xml:space="preserve">svi </w:t>
      </w:r>
      <w:r w:rsidR="00E44D8E" w:rsidRPr="00E44D8E">
        <w:rPr>
          <w:rFonts w:ascii="Calibri" w:eastAsia="Times New Roman" w:hAnsi="Calibri" w:cs="Calibri"/>
          <w:sz w:val="24"/>
          <w:szCs w:val="24"/>
          <w:lang w:eastAsia="hr-HR"/>
        </w:rPr>
        <w:t xml:space="preserve">izborni strukovni moduli </w:t>
      </w:r>
      <w:r w:rsidR="00D71082" w:rsidRPr="00E44D8E">
        <w:rPr>
          <w:rFonts w:ascii="Calibri" w:eastAsia="Times New Roman" w:hAnsi="Calibri" w:cs="Calibri"/>
          <w:sz w:val="24"/>
          <w:szCs w:val="24"/>
          <w:lang w:eastAsia="hr-HR"/>
        </w:rPr>
        <w:t xml:space="preserve">također </w:t>
      </w:r>
      <w:r w:rsidR="00E44D8E" w:rsidRPr="00E44D8E">
        <w:rPr>
          <w:rFonts w:ascii="Calibri" w:eastAsia="Times New Roman" w:hAnsi="Calibri" w:cs="Calibri"/>
          <w:sz w:val="24"/>
          <w:szCs w:val="24"/>
          <w:lang w:eastAsia="hr-HR"/>
        </w:rPr>
        <w:t>izvode u 100% satnici kao u redovitom sustavu.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ježbe</w:t>
      </w:r>
      <w:r w:rsidR="00D23962">
        <w:rPr>
          <w:rFonts w:ascii="Calibri" w:eastAsia="Times New Roman" w:hAnsi="Calibri" w:cs="Calibri"/>
          <w:sz w:val="24"/>
          <w:szCs w:val="24"/>
          <w:lang w:eastAsia="hr-HR"/>
        </w:rPr>
        <w:t xml:space="preserve"> i praktična nastava</w:t>
      </w:r>
      <w:r w:rsidR="00D23962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nastavnim planom strukovnog kurikuluma za stjecanje kvalifikacije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BA1CE5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programu, neovisno o načinu izvođenja, izvode se s cijelom obrazovnom skupinom i obvezne su za sve polaznike. Organiziraju se u ustanovi, prema utvrđenom rasporedu uz obavezno vođenje evidencije o prisutnosti polaznika.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E9663C" w:rsidRPr="00784CB1" w:rsidRDefault="00E9663C" w:rsidP="00E9663C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Pr="00711009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BD2256"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izvodi se samo općeobrazovni dio, a posebni strukovni dio i izborni strukovni dio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konzultativno – instruktivnom nastavom. </w:t>
      </w:r>
    </w:p>
    <w:p w:rsidR="00E9663C" w:rsidRPr="00CE6F70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Za izvođenje dopisno-konzultativne nastave potrebno je izraditi nastavna pisma za sve općeobrazovne predmete te ih osigurati za sve polaznike (dva nastavna pisma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podnošenja zahtjeva za ishođenje stručnog mišljenja na program za ovaj način izvođenja).</w:t>
      </w: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F1A6F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se putem skupnih i individualnih konzultacija. Skupne konzultacije su obvezne za sve polaznike i realiziraju se kroz 10% nastavnih sati propisanih nastavnim planom i programom za redovitu nastavu. 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E9663C" w:rsidRPr="00482C07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konzultacije ciklički raspoređene, polaznici dolaze radi potrebnih im konzultacija i povratnih informacija o uspješnosti usvojenog dijela nastavnih sadržaja/programa. Na skupnim se konzultacijama, u skladu s nastavnim planom i programom te potrebama polaznika, obrađuje i tumači određeni nastavni sadržaj koji je uvijek potrebno prilagoditi posebnostima obrazovne skupine.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E9663C" w:rsidRPr="00482C07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D4FEF" w:rsidRDefault="00DB5A39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Laboratorijske vježbe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izvode, prema nastavnom planu i programu strukovnog kurikuluma za stjecanje kvalifikacije </w:t>
      </w:r>
      <w:r w:rsidRPr="00734C43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D146B5">
        <w:rPr>
          <w:rFonts w:ascii="Calibri" w:eastAsia="Times New Roman" w:hAnsi="Calibri" w:cs="Calibri"/>
          <w:sz w:val="24"/>
          <w:szCs w:val="24"/>
          <w:lang w:eastAsia="hr-HR"/>
        </w:rPr>
        <w:t xml:space="preserve">specijaliziranim i informatičkim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učionicama ustanove/škole s potrebnom opremom za izvođenje vježbi</w:t>
      </w:r>
      <w:r w:rsidR="00F95179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096ECE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Polaznici </w:t>
      </w:r>
      <w:r w:rsidR="00096ECE">
        <w:rPr>
          <w:rFonts w:ascii="Calibri" w:eastAsia="Times New Roman" w:hAnsi="Calibri" w:cs="Calibri"/>
          <w:sz w:val="24"/>
          <w:szCs w:val="24"/>
          <w:lang w:eastAsia="hr-HR"/>
        </w:rPr>
        <w:t>izrađuju izvješća s vježbi.</w:t>
      </w:r>
    </w:p>
    <w:p w:rsidR="00F95179" w:rsidRDefault="00F95179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Radioničke vježbe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, prema nastavnom planu i programu strukovnog kurikuluma za stjecanje kvalifikacije </w:t>
      </w:r>
      <w:r w:rsidRPr="00734C43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>elektroniku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 radionicama </w:t>
      </w:r>
      <w:r w:rsidR="00D146B5">
        <w:rPr>
          <w:rFonts w:ascii="Calibri" w:eastAsia="Times New Roman" w:hAnsi="Calibri" w:cs="Calibri"/>
          <w:sz w:val="24"/>
          <w:szCs w:val="24"/>
          <w:lang w:eastAsia="hr-HR"/>
        </w:rPr>
        <w:t xml:space="preserve">za praktičnu nastavu </w:t>
      </w:r>
      <w:r w:rsidR="00096ECE">
        <w:rPr>
          <w:rFonts w:ascii="Calibri" w:eastAsia="Times New Roman" w:hAnsi="Calibri" w:cs="Calibri"/>
          <w:sz w:val="24"/>
          <w:szCs w:val="24"/>
          <w:lang w:eastAsia="hr-HR"/>
        </w:rPr>
        <w:t xml:space="preserve">ustanove/škole. </w:t>
      </w:r>
      <w:r w:rsidR="00096ECE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Polaznici </w:t>
      </w:r>
      <w:r w:rsidR="00096ECE">
        <w:rPr>
          <w:rFonts w:ascii="Calibri" w:eastAsia="Times New Roman" w:hAnsi="Calibri" w:cs="Calibri"/>
          <w:sz w:val="24"/>
          <w:szCs w:val="24"/>
          <w:lang w:eastAsia="hr-HR"/>
        </w:rPr>
        <w:t>izrađuju tehničko-tehnološku dokumentaciju.</w:t>
      </w:r>
    </w:p>
    <w:p w:rsidR="003615AF" w:rsidRDefault="003615AF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15AF" w:rsidRDefault="003615AF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15AF" w:rsidRPr="00F95179" w:rsidRDefault="003615AF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15AF" w:rsidRPr="006C76A4" w:rsidRDefault="003615AF" w:rsidP="003615A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 w:rsidR="007D5F42"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Pr="007D5F42">
        <w:rPr>
          <w:rFonts w:eastAsia="Times New Roman" w:cs="Arial"/>
          <w:b/>
          <w:bCs/>
          <w:i/>
          <w:sz w:val="28"/>
          <w:szCs w:val="28"/>
          <w:lang w:eastAsia="hr-HR"/>
        </w:rPr>
        <w:t>TEHNIČAR ZA ELEKTRONIKU</w:t>
      </w:r>
    </w:p>
    <w:p w:rsidR="003615AF" w:rsidRDefault="003615AF" w:rsidP="003615A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3615AF" w:rsidRDefault="003615AF" w:rsidP="003615AF">
      <w:pPr>
        <w:pStyle w:val="Odlomakpopisa"/>
        <w:numPr>
          <w:ilvl w:val="1"/>
          <w:numId w:val="1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E9663C" w:rsidRDefault="00E9663C"/>
    <w:p w:rsidR="003615AF" w:rsidRDefault="00C3400E" w:rsidP="003615AF">
      <w:pPr>
        <w:jc w:val="center"/>
      </w:pPr>
      <w:r w:rsidRPr="00C3400E">
        <w:rPr>
          <w:noProof/>
          <w:lang w:eastAsia="hr-HR"/>
        </w:rPr>
        <w:drawing>
          <wp:inline distT="0" distB="0" distL="0" distR="0">
            <wp:extent cx="5760720" cy="712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AF" w:rsidRDefault="003615AF" w:rsidP="003615AF">
      <w:pPr>
        <w:jc w:val="center"/>
      </w:pPr>
    </w:p>
    <w:p w:rsidR="003615AF" w:rsidRDefault="00C3400E" w:rsidP="003615AF">
      <w:pPr>
        <w:jc w:val="center"/>
      </w:pPr>
      <w:r w:rsidRPr="00C3400E">
        <w:rPr>
          <w:noProof/>
          <w:lang w:eastAsia="hr-HR"/>
        </w:rPr>
        <w:lastRenderedPageBreak/>
        <w:drawing>
          <wp:inline distT="0" distB="0" distL="0" distR="0">
            <wp:extent cx="5760720" cy="770792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29" w:rsidRDefault="00CB0F29" w:rsidP="003615AF">
      <w:pPr>
        <w:jc w:val="center"/>
      </w:pPr>
    </w:p>
    <w:p w:rsidR="00CB0F29" w:rsidRDefault="00CB0F29" w:rsidP="003615AF">
      <w:pPr>
        <w:jc w:val="center"/>
      </w:pPr>
    </w:p>
    <w:p w:rsidR="00E9663C" w:rsidRDefault="00CB0F29" w:rsidP="003615AF">
      <w:pPr>
        <w:jc w:val="center"/>
      </w:pPr>
      <w:r w:rsidRPr="00CB0F29">
        <w:rPr>
          <w:noProof/>
          <w:lang w:eastAsia="hr-HR"/>
        </w:rPr>
        <w:lastRenderedPageBreak/>
        <w:drawing>
          <wp:inline distT="0" distB="0" distL="0" distR="0">
            <wp:extent cx="5760720" cy="241889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3B" w:rsidRPr="009422B5" w:rsidRDefault="00E64459" w:rsidP="00F9523B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 xml:space="preserve">NAPOMENA </w:t>
      </w:r>
      <w:r w:rsidR="00A921B1" w:rsidRPr="009422B5">
        <w:rPr>
          <w:rFonts w:cstheme="minorHAnsi"/>
          <w:sz w:val="24"/>
          <w:szCs w:val="24"/>
        </w:rPr>
        <w:t>IZ KURIKULUMA</w:t>
      </w:r>
      <w:r w:rsidR="00BD720E" w:rsidRPr="009422B5">
        <w:rPr>
          <w:rFonts w:cstheme="minorHAnsi"/>
          <w:sz w:val="24"/>
          <w:szCs w:val="24"/>
        </w:rPr>
        <w:t xml:space="preserve">  I NN</w:t>
      </w:r>
    </w:p>
    <w:p w:rsidR="00BD2256" w:rsidRPr="009422B5" w:rsidRDefault="00BD2256" w:rsidP="00BD2256">
      <w:pPr>
        <w:pStyle w:val="textbox"/>
        <w:rPr>
          <w:rFonts w:asciiTheme="minorHAnsi" w:hAnsiTheme="minorHAnsi" w:cstheme="minorHAnsi"/>
        </w:rPr>
      </w:pPr>
      <w:r w:rsidRPr="009422B5">
        <w:rPr>
          <w:rFonts w:asciiTheme="minorHAnsi" w:hAnsiTheme="minorHAnsi" w:cstheme="minorHAnsi"/>
        </w:rPr>
        <w:t xml:space="preserve">* Napomena: U trećem razredu polaznik bira jedan od pet ponuđenih izbornih strukovnih modula s pripadajuća dva nastavna predmeta. U četvrtom razredu polaznik bira jedan od pet ponuđenih izbornih strukovnih modula s pripadajuća dva nastavna predmeta. </w:t>
      </w:r>
    </w:p>
    <w:p w:rsidR="00251C62" w:rsidRPr="009422B5" w:rsidRDefault="00BD720E" w:rsidP="00EA49ED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>**podjela na skupne i individualne sate ovisi o odabranom modulu</w:t>
      </w:r>
    </w:p>
    <w:p w:rsidR="00656B4B" w:rsidRPr="009422B5" w:rsidRDefault="00656B4B" w:rsidP="00EA49ED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 xml:space="preserve">*** u ukupni izračun </w:t>
      </w:r>
      <w:r w:rsidR="0064797A" w:rsidRPr="009422B5">
        <w:rPr>
          <w:rFonts w:cstheme="minorHAnsi"/>
          <w:sz w:val="24"/>
          <w:szCs w:val="24"/>
        </w:rPr>
        <w:t>uračunat je broj sati za odabir modula pod rednim brojem</w:t>
      </w:r>
      <w:r w:rsidR="00A321A0" w:rsidRPr="009422B5">
        <w:rPr>
          <w:rFonts w:cstheme="minorHAnsi"/>
          <w:sz w:val="24"/>
          <w:szCs w:val="24"/>
        </w:rPr>
        <w:t xml:space="preserve"> </w:t>
      </w:r>
      <w:r w:rsidR="0064797A" w:rsidRPr="009422B5">
        <w:rPr>
          <w:rFonts w:cstheme="minorHAnsi"/>
          <w:sz w:val="24"/>
          <w:szCs w:val="24"/>
        </w:rPr>
        <w:t>1,3 ili 4</w:t>
      </w:r>
      <w:r w:rsidRPr="009422B5">
        <w:rPr>
          <w:rFonts w:cstheme="minorHAnsi"/>
          <w:sz w:val="24"/>
          <w:szCs w:val="24"/>
        </w:rPr>
        <w:t xml:space="preserve"> </w:t>
      </w:r>
    </w:p>
    <w:p w:rsidR="00240DE3" w:rsidRDefault="00240DE3" w:rsidP="00EA49ED"/>
    <w:p w:rsidR="00E4630E" w:rsidRDefault="00E4630E" w:rsidP="00EA49ED"/>
    <w:p w:rsidR="00240DE3" w:rsidRDefault="00240DE3" w:rsidP="00EA49ED"/>
    <w:p w:rsidR="00240DE3" w:rsidRDefault="00240DE3" w:rsidP="00EA49ED"/>
    <w:p w:rsidR="00240DE3" w:rsidRDefault="00240DE3" w:rsidP="00EA49ED"/>
    <w:p w:rsidR="00240DE3" w:rsidRDefault="00240DE3" w:rsidP="00EA49ED"/>
    <w:p w:rsidR="00D55BC5" w:rsidRDefault="00D55BC5" w:rsidP="00EA49ED"/>
    <w:p w:rsidR="00D55BC5" w:rsidRDefault="00D55BC5" w:rsidP="00EA49ED"/>
    <w:p w:rsidR="00CB0F29" w:rsidRDefault="00CB0F29" w:rsidP="00EA49ED"/>
    <w:p w:rsidR="00CB0F29" w:rsidRDefault="00CB0F29" w:rsidP="00EA49ED"/>
    <w:p w:rsidR="00CB0F29" w:rsidRDefault="00CB0F29" w:rsidP="00EA49ED"/>
    <w:p w:rsidR="00CB0F29" w:rsidRDefault="00CB0F29" w:rsidP="00EA49ED"/>
    <w:p w:rsidR="00CB0F29" w:rsidRDefault="00CB0F29" w:rsidP="00EA49ED"/>
    <w:p w:rsidR="00D55BC5" w:rsidRDefault="00D55BC5" w:rsidP="00EA49ED"/>
    <w:p w:rsidR="00D55BC5" w:rsidRDefault="00D55BC5" w:rsidP="00EA49ED"/>
    <w:p w:rsidR="00240DE3" w:rsidRDefault="00240DE3" w:rsidP="00240DE3">
      <w:pPr>
        <w:pStyle w:val="Odlomakpopisa"/>
        <w:numPr>
          <w:ilvl w:val="1"/>
          <w:numId w:val="1"/>
        </w:numPr>
        <w:rPr>
          <w:b/>
        </w:rPr>
      </w:pPr>
      <w:r w:rsidRPr="00FD0303">
        <w:rPr>
          <w:b/>
        </w:rPr>
        <w:t xml:space="preserve">DOPISNO – KONZULTATIVNA NASTAVA </w:t>
      </w:r>
    </w:p>
    <w:p w:rsidR="00CB0F29" w:rsidRDefault="007A6185" w:rsidP="00CB0F29">
      <w:pPr>
        <w:jc w:val="center"/>
        <w:rPr>
          <w:b/>
        </w:rPr>
      </w:pPr>
      <w:r w:rsidRPr="007A6185">
        <w:rPr>
          <w:noProof/>
          <w:lang w:eastAsia="hr-HR"/>
        </w:rPr>
        <w:drawing>
          <wp:inline distT="0" distB="0" distL="0" distR="0">
            <wp:extent cx="5760720" cy="7336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29" w:rsidRDefault="00CB0F29" w:rsidP="00CB0F29">
      <w:pPr>
        <w:jc w:val="center"/>
        <w:rPr>
          <w:b/>
        </w:rPr>
      </w:pPr>
    </w:p>
    <w:p w:rsidR="00CB0F29" w:rsidRDefault="00CB0F29" w:rsidP="00CB0F29">
      <w:pPr>
        <w:jc w:val="center"/>
        <w:rPr>
          <w:b/>
        </w:rPr>
      </w:pPr>
    </w:p>
    <w:p w:rsidR="00CB0F29" w:rsidRDefault="00CB0F29" w:rsidP="00CB0F29">
      <w:pPr>
        <w:jc w:val="center"/>
        <w:rPr>
          <w:b/>
        </w:rPr>
      </w:pPr>
    </w:p>
    <w:p w:rsidR="00CB0F29" w:rsidRDefault="007A6185" w:rsidP="00CB0F29">
      <w:pPr>
        <w:jc w:val="center"/>
        <w:rPr>
          <w:b/>
        </w:rPr>
      </w:pPr>
      <w:r w:rsidRPr="007A6185">
        <w:rPr>
          <w:noProof/>
          <w:lang w:eastAsia="hr-HR"/>
        </w:rPr>
        <w:drawing>
          <wp:inline distT="0" distB="0" distL="0" distR="0">
            <wp:extent cx="5760720" cy="7707924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29" w:rsidRDefault="00CB0F29" w:rsidP="00CB0F29">
      <w:pPr>
        <w:jc w:val="center"/>
        <w:rPr>
          <w:b/>
        </w:rPr>
      </w:pPr>
    </w:p>
    <w:p w:rsidR="00CB0F29" w:rsidRDefault="00CB0F29" w:rsidP="00CB0F29">
      <w:pPr>
        <w:jc w:val="center"/>
        <w:rPr>
          <w:b/>
        </w:rPr>
      </w:pPr>
    </w:p>
    <w:p w:rsidR="003615AF" w:rsidRPr="00CB0F29" w:rsidRDefault="00CB0F29" w:rsidP="00CB0F29">
      <w:pPr>
        <w:jc w:val="center"/>
        <w:rPr>
          <w:b/>
        </w:rPr>
      </w:pPr>
      <w:r w:rsidRPr="00CB0F29">
        <w:rPr>
          <w:noProof/>
          <w:lang w:eastAsia="hr-HR"/>
        </w:rPr>
        <w:lastRenderedPageBreak/>
        <w:drawing>
          <wp:inline distT="0" distB="0" distL="0" distR="0">
            <wp:extent cx="5760720" cy="24806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72" w:rsidRPr="009422B5" w:rsidRDefault="00EB6B72" w:rsidP="00EB6B72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>NAPOMENA IZ KURIKULUMA  I NN</w:t>
      </w:r>
    </w:p>
    <w:p w:rsidR="00EB6B72" w:rsidRPr="009422B5" w:rsidRDefault="00EB6B72" w:rsidP="00CB71E0">
      <w:pPr>
        <w:pStyle w:val="textbox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9422B5">
        <w:rPr>
          <w:rFonts w:asciiTheme="minorHAnsi" w:hAnsiTheme="minorHAnsi" w:cstheme="minorHAnsi"/>
        </w:rPr>
        <w:t xml:space="preserve">* Napomena: U trećem razredu polaznik bira jedan od pet ponuđenih izbornih strukovnih modula s pripadajuća dva nastavna predmeta. U četvrtom razredu polaznik bira jedan od pet ponuđenih izbornih strukovnih modula s pripadajuća dva nastavna predmeta. </w:t>
      </w:r>
    </w:p>
    <w:p w:rsidR="00EB6B72" w:rsidRPr="009422B5" w:rsidRDefault="00EB6B72" w:rsidP="00EB6B72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>**podjela na skupne i individualne sate ovisi o odabranom modulu</w:t>
      </w:r>
    </w:p>
    <w:p w:rsidR="00EB6B72" w:rsidRPr="009422B5" w:rsidRDefault="00EB6B72" w:rsidP="00EB6B72">
      <w:pPr>
        <w:rPr>
          <w:rFonts w:cstheme="minorHAnsi"/>
          <w:sz w:val="24"/>
          <w:szCs w:val="24"/>
        </w:rPr>
      </w:pPr>
      <w:r w:rsidRPr="009422B5">
        <w:rPr>
          <w:rFonts w:cstheme="minorHAnsi"/>
          <w:sz w:val="24"/>
          <w:szCs w:val="24"/>
        </w:rPr>
        <w:t xml:space="preserve">*** u ukupni izračun uračunat je broj sati za odabir modula pod rednim brojem 1,3 ili 4 </w:t>
      </w:r>
    </w:p>
    <w:p w:rsidR="00E4630E" w:rsidRDefault="00E4630E" w:rsidP="00EA49ED"/>
    <w:p w:rsidR="004A39D0" w:rsidRPr="009422B5" w:rsidRDefault="004A39D0" w:rsidP="005D4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/>
          <w:b/>
          <w:bCs/>
          <w:iCs/>
          <w:sz w:val="24"/>
          <w:szCs w:val="24"/>
        </w:rPr>
      </w:pPr>
      <w:r w:rsidRPr="009422B5">
        <w:rPr>
          <w:rFonts w:ascii="Calibri" w:eastAsia="Calibri" w:hAnsi="Calibri"/>
          <w:b/>
          <w:bCs/>
          <w:iCs/>
          <w:sz w:val="24"/>
          <w:szCs w:val="24"/>
        </w:rPr>
        <w:t>Napomena:</w:t>
      </w:r>
    </w:p>
    <w:p w:rsidR="005D4260" w:rsidRPr="005D4260" w:rsidRDefault="005D4260" w:rsidP="005D4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/>
          <w:bCs/>
          <w:iCs/>
          <w:sz w:val="24"/>
          <w:szCs w:val="24"/>
        </w:rPr>
      </w:pPr>
      <w:r w:rsidRPr="005D4260">
        <w:rPr>
          <w:rFonts w:ascii="Calibri" w:eastAsia="Calibri" w:hAnsi="Calibri"/>
          <w:bCs/>
          <w:iCs/>
          <w:sz w:val="24"/>
          <w:szCs w:val="24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:rsidR="00D23962" w:rsidRPr="009422B5" w:rsidRDefault="00D23962" w:rsidP="004A39D0">
      <w:pPr>
        <w:jc w:val="both"/>
        <w:rPr>
          <w:rFonts w:ascii="Calibri" w:eastAsia="Calibri" w:hAnsi="Calibri"/>
          <w:b/>
          <w:bCs/>
          <w:sz w:val="24"/>
          <w:szCs w:val="24"/>
        </w:rPr>
      </w:pPr>
    </w:p>
    <w:p w:rsidR="004A39D0" w:rsidRPr="009422B5" w:rsidRDefault="004A39D0" w:rsidP="004A39D0">
      <w:p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9422B5">
        <w:rPr>
          <w:rFonts w:ascii="Calibri" w:eastAsia="Calibri" w:hAnsi="Calibri"/>
          <w:b/>
          <w:bCs/>
          <w:sz w:val="24"/>
          <w:szCs w:val="24"/>
        </w:rPr>
        <w:t xml:space="preserve">Broj i datum </w:t>
      </w:r>
      <w:r w:rsidR="007D5F42" w:rsidRPr="009422B5">
        <w:rPr>
          <w:rFonts w:ascii="Calibri" w:eastAsia="Calibri" w:hAnsi="Calibri"/>
          <w:b/>
          <w:bCs/>
          <w:sz w:val="24"/>
          <w:szCs w:val="24"/>
        </w:rPr>
        <w:t xml:space="preserve">pozitivnog stručnog </w:t>
      </w:r>
      <w:r w:rsidRPr="009422B5">
        <w:rPr>
          <w:rFonts w:ascii="Calibri" w:eastAsia="Calibri" w:hAnsi="Calibri"/>
          <w:b/>
          <w:bCs/>
          <w:sz w:val="24"/>
          <w:szCs w:val="24"/>
        </w:rPr>
        <w:t>mišljenja n</w:t>
      </w:r>
      <w:r w:rsidR="00D23962" w:rsidRPr="009422B5">
        <w:rPr>
          <w:rFonts w:ascii="Calibri" w:eastAsia="Calibri" w:hAnsi="Calibri"/>
          <w:b/>
          <w:bCs/>
          <w:sz w:val="24"/>
          <w:szCs w:val="24"/>
        </w:rPr>
        <w:t>a program (popunjava Agencija):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793"/>
      </w:tblGrid>
      <w:tr w:rsidR="004A39D0" w:rsidRPr="009422B5" w:rsidTr="000B0234">
        <w:trPr>
          <w:trHeight w:val="582"/>
        </w:trPr>
        <w:tc>
          <w:tcPr>
            <w:tcW w:w="4361" w:type="dxa"/>
            <w:vAlign w:val="center"/>
          </w:tcPr>
          <w:p w:rsidR="004A39D0" w:rsidRPr="009422B5" w:rsidRDefault="003615AF" w:rsidP="000B0234">
            <w:pPr>
              <w:rPr>
                <w:rFonts w:ascii="Calibri" w:eastAsia="Calibri" w:hAnsi="Calibri"/>
                <w:sz w:val="24"/>
                <w:szCs w:val="24"/>
              </w:rPr>
            </w:pPr>
            <w:r w:rsidRPr="009422B5">
              <w:rPr>
                <w:rFonts w:ascii="Calibri" w:eastAsia="Calibri" w:hAnsi="Calibri"/>
                <w:sz w:val="24"/>
                <w:szCs w:val="24"/>
              </w:rPr>
              <w:t>KLASA:</w:t>
            </w:r>
          </w:p>
        </w:tc>
        <w:tc>
          <w:tcPr>
            <w:tcW w:w="4927" w:type="dxa"/>
          </w:tcPr>
          <w:p w:rsidR="004A39D0" w:rsidRPr="009422B5" w:rsidRDefault="004A39D0" w:rsidP="000B0234">
            <w:pPr>
              <w:spacing w:after="8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A39D0" w:rsidRPr="009422B5" w:rsidTr="000B0234">
        <w:trPr>
          <w:trHeight w:val="582"/>
        </w:trPr>
        <w:tc>
          <w:tcPr>
            <w:tcW w:w="4361" w:type="dxa"/>
            <w:vAlign w:val="center"/>
          </w:tcPr>
          <w:p w:rsidR="004A39D0" w:rsidRPr="009422B5" w:rsidRDefault="007D5F42" w:rsidP="000B0234">
            <w:pPr>
              <w:rPr>
                <w:rFonts w:ascii="Calibri" w:eastAsia="Calibri" w:hAnsi="Calibri"/>
                <w:sz w:val="24"/>
                <w:szCs w:val="24"/>
              </w:rPr>
            </w:pPr>
            <w:r w:rsidRPr="009422B5">
              <w:rPr>
                <w:rFonts w:ascii="Calibri" w:eastAsia="Calibri" w:hAnsi="Calibri"/>
                <w:sz w:val="24"/>
                <w:szCs w:val="24"/>
              </w:rPr>
              <w:t>UR</w:t>
            </w:r>
            <w:r w:rsidR="003615AF" w:rsidRPr="009422B5">
              <w:rPr>
                <w:rFonts w:ascii="Calibri" w:eastAsia="Calibri" w:hAnsi="Calibri"/>
                <w:sz w:val="24"/>
                <w:szCs w:val="24"/>
              </w:rPr>
              <w:t>BROJ:</w:t>
            </w:r>
          </w:p>
        </w:tc>
        <w:tc>
          <w:tcPr>
            <w:tcW w:w="4927" w:type="dxa"/>
          </w:tcPr>
          <w:p w:rsidR="004A39D0" w:rsidRPr="009422B5" w:rsidRDefault="004A39D0" w:rsidP="000B0234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A39D0" w:rsidRPr="009422B5" w:rsidTr="009422B5">
        <w:trPr>
          <w:trHeight w:val="70"/>
        </w:trPr>
        <w:tc>
          <w:tcPr>
            <w:tcW w:w="4361" w:type="dxa"/>
            <w:vAlign w:val="center"/>
          </w:tcPr>
          <w:p w:rsidR="004A39D0" w:rsidRPr="009422B5" w:rsidRDefault="004A39D0" w:rsidP="001D0B7A">
            <w:pPr>
              <w:rPr>
                <w:rFonts w:ascii="Calibri" w:eastAsia="Calibri" w:hAnsi="Calibri"/>
                <w:sz w:val="24"/>
                <w:szCs w:val="24"/>
              </w:rPr>
            </w:pPr>
            <w:r w:rsidRPr="009422B5">
              <w:rPr>
                <w:rFonts w:ascii="Calibri" w:eastAsia="Calibri" w:hAnsi="Calibri"/>
                <w:sz w:val="24"/>
                <w:szCs w:val="24"/>
              </w:rPr>
              <w:t xml:space="preserve">Datum izdavanja </w:t>
            </w:r>
            <w:r w:rsidR="001D0B7A">
              <w:rPr>
                <w:rFonts w:ascii="Calibri" w:eastAsia="Calibri" w:hAnsi="Calibri"/>
                <w:sz w:val="24"/>
                <w:szCs w:val="24"/>
              </w:rPr>
              <w:t>stručnog mišljenja:</w:t>
            </w:r>
            <w:bookmarkStart w:id="0" w:name="_GoBack"/>
            <w:bookmarkEnd w:id="0"/>
          </w:p>
        </w:tc>
        <w:tc>
          <w:tcPr>
            <w:tcW w:w="4927" w:type="dxa"/>
          </w:tcPr>
          <w:p w:rsidR="004A39D0" w:rsidRPr="009422B5" w:rsidRDefault="004A39D0" w:rsidP="000B02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51C62" w:rsidRDefault="00251C62" w:rsidP="00EA49ED"/>
    <w:sectPr w:rsidR="00251C62" w:rsidSect="00411089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D8" w:rsidRDefault="00F477D8" w:rsidP="00E9663C">
      <w:pPr>
        <w:spacing w:after="0" w:line="240" w:lineRule="auto"/>
      </w:pPr>
      <w:r>
        <w:separator/>
      </w:r>
    </w:p>
  </w:endnote>
  <w:endnote w:type="continuationSeparator" w:id="0">
    <w:p w:rsidR="00F477D8" w:rsidRDefault="00F477D8" w:rsidP="00E9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426093"/>
      <w:docPartObj>
        <w:docPartGallery w:val="Page Numbers (Bottom of Page)"/>
        <w:docPartUnique/>
      </w:docPartObj>
    </w:sdtPr>
    <w:sdtEndPr/>
    <w:sdtContent>
      <w:p w:rsidR="00411089" w:rsidRDefault="0041108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7A">
          <w:rPr>
            <w:noProof/>
          </w:rPr>
          <w:t>9</w:t>
        </w:r>
        <w:r>
          <w:fldChar w:fldCharType="end"/>
        </w:r>
      </w:p>
    </w:sdtContent>
  </w:sdt>
  <w:p w:rsidR="00411089" w:rsidRDefault="004110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D8" w:rsidRDefault="00F477D8" w:rsidP="00E9663C">
      <w:pPr>
        <w:spacing w:after="0" w:line="240" w:lineRule="auto"/>
      </w:pPr>
      <w:r>
        <w:separator/>
      </w:r>
    </w:p>
  </w:footnote>
  <w:footnote w:type="continuationSeparator" w:id="0">
    <w:p w:rsidR="00F477D8" w:rsidRDefault="00F477D8" w:rsidP="00E9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3B"/>
    <w:rsid w:val="00013C96"/>
    <w:rsid w:val="00064147"/>
    <w:rsid w:val="00096ECE"/>
    <w:rsid w:val="000B0234"/>
    <w:rsid w:val="000E5D9B"/>
    <w:rsid w:val="000F0DDB"/>
    <w:rsid w:val="0014296B"/>
    <w:rsid w:val="00162706"/>
    <w:rsid w:val="00165B59"/>
    <w:rsid w:val="00176508"/>
    <w:rsid w:val="00176967"/>
    <w:rsid w:val="00187D56"/>
    <w:rsid w:val="001A4447"/>
    <w:rsid w:val="001C0DC2"/>
    <w:rsid w:val="001D0B7A"/>
    <w:rsid w:val="001D2541"/>
    <w:rsid w:val="001F5136"/>
    <w:rsid w:val="002007E1"/>
    <w:rsid w:val="00240DE3"/>
    <w:rsid w:val="00251C62"/>
    <w:rsid w:val="0028559B"/>
    <w:rsid w:val="002A401C"/>
    <w:rsid w:val="002A704C"/>
    <w:rsid w:val="00356BE9"/>
    <w:rsid w:val="003615AF"/>
    <w:rsid w:val="003763DB"/>
    <w:rsid w:val="00376815"/>
    <w:rsid w:val="00392A74"/>
    <w:rsid w:val="003B0DD9"/>
    <w:rsid w:val="003B2162"/>
    <w:rsid w:val="003D0ED9"/>
    <w:rsid w:val="003E4078"/>
    <w:rsid w:val="003F205E"/>
    <w:rsid w:val="00411089"/>
    <w:rsid w:val="004161DC"/>
    <w:rsid w:val="0041740D"/>
    <w:rsid w:val="0046354F"/>
    <w:rsid w:val="004734AF"/>
    <w:rsid w:val="004947F1"/>
    <w:rsid w:val="004A145D"/>
    <w:rsid w:val="004A39D0"/>
    <w:rsid w:val="004E741B"/>
    <w:rsid w:val="00507C57"/>
    <w:rsid w:val="00507DD5"/>
    <w:rsid w:val="0051261F"/>
    <w:rsid w:val="005348A8"/>
    <w:rsid w:val="00583C63"/>
    <w:rsid w:val="005B0868"/>
    <w:rsid w:val="005D10D7"/>
    <w:rsid w:val="005D4260"/>
    <w:rsid w:val="005F43C6"/>
    <w:rsid w:val="005F6D6E"/>
    <w:rsid w:val="00645005"/>
    <w:rsid w:val="0064797A"/>
    <w:rsid w:val="00655CA4"/>
    <w:rsid w:val="00656220"/>
    <w:rsid w:val="00656B4B"/>
    <w:rsid w:val="00660728"/>
    <w:rsid w:val="00661D75"/>
    <w:rsid w:val="006773A4"/>
    <w:rsid w:val="00685C09"/>
    <w:rsid w:val="006E5F8C"/>
    <w:rsid w:val="00701E3B"/>
    <w:rsid w:val="00711009"/>
    <w:rsid w:val="007275F0"/>
    <w:rsid w:val="00734C43"/>
    <w:rsid w:val="00746F72"/>
    <w:rsid w:val="0077272E"/>
    <w:rsid w:val="0078481B"/>
    <w:rsid w:val="007A21E0"/>
    <w:rsid w:val="007A6185"/>
    <w:rsid w:val="007B4FE6"/>
    <w:rsid w:val="007D4FEF"/>
    <w:rsid w:val="007D5F42"/>
    <w:rsid w:val="007F74E4"/>
    <w:rsid w:val="008409E8"/>
    <w:rsid w:val="0085178C"/>
    <w:rsid w:val="00880243"/>
    <w:rsid w:val="008B4C5F"/>
    <w:rsid w:val="008B76F9"/>
    <w:rsid w:val="008C3D6F"/>
    <w:rsid w:val="008F3D1F"/>
    <w:rsid w:val="008F7596"/>
    <w:rsid w:val="00932B96"/>
    <w:rsid w:val="009422B5"/>
    <w:rsid w:val="00990629"/>
    <w:rsid w:val="00997F76"/>
    <w:rsid w:val="009A6A88"/>
    <w:rsid w:val="009C66B8"/>
    <w:rsid w:val="009E57C9"/>
    <w:rsid w:val="00A321A0"/>
    <w:rsid w:val="00A55996"/>
    <w:rsid w:val="00A649AC"/>
    <w:rsid w:val="00A84121"/>
    <w:rsid w:val="00A91240"/>
    <w:rsid w:val="00A921B1"/>
    <w:rsid w:val="00A95656"/>
    <w:rsid w:val="00A972E8"/>
    <w:rsid w:val="00AB15E9"/>
    <w:rsid w:val="00B07C26"/>
    <w:rsid w:val="00B641AA"/>
    <w:rsid w:val="00B73BF0"/>
    <w:rsid w:val="00B966C7"/>
    <w:rsid w:val="00BA0C06"/>
    <w:rsid w:val="00BA1CE5"/>
    <w:rsid w:val="00BC2B71"/>
    <w:rsid w:val="00BD2256"/>
    <w:rsid w:val="00BD720E"/>
    <w:rsid w:val="00BF4817"/>
    <w:rsid w:val="00BF77F7"/>
    <w:rsid w:val="00C30E89"/>
    <w:rsid w:val="00C3400E"/>
    <w:rsid w:val="00CB0F29"/>
    <w:rsid w:val="00CB71E0"/>
    <w:rsid w:val="00CC4E8C"/>
    <w:rsid w:val="00D146B5"/>
    <w:rsid w:val="00D23962"/>
    <w:rsid w:val="00D31D15"/>
    <w:rsid w:val="00D404EB"/>
    <w:rsid w:val="00D55BC5"/>
    <w:rsid w:val="00D704C1"/>
    <w:rsid w:val="00D71082"/>
    <w:rsid w:val="00D86D73"/>
    <w:rsid w:val="00D90DDE"/>
    <w:rsid w:val="00D9579A"/>
    <w:rsid w:val="00DB0330"/>
    <w:rsid w:val="00DB5A39"/>
    <w:rsid w:val="00DB6F36"/>
    <w:rsid w:val="00DC0A6E"/>
    <w:rsid w:val="00DE12C5"/>
    <w:rsid w:val="00E26481"/>
    <w:rsid w:val="00E44D8E"/>
    <w:rsid w:val="00E4630E"/>
    <w:rsid w:val="00E467F8"/>
    <w:rsid w:val="00E64459"/>
    <w:rsid w:val="00E85904"/>
    <w:rsid w:val="00E92C57"/>
    <w:rsid w:val="00E9663C"/>
    <w:rsid w:val="00E96E28"/>
    <w:rsid w:val="00EA49ED"/>
    <w:rsid w:val="00EB6B72"/>
    <w:rsid w:val="00ED4381"/>
    <w:rsid w:val="00EE14DF"/>
    <w:rsid w:val="00F02550"/>
    <w:rsid w:val="00F0354A"/>
    <w:rsid w:val="00F3192E"/>
    <w:rsid w:val="00F477D8"/>
    <w:rsid w:val="00F56D6B"/>
    <w:rsid w:val="00F6377C"/>
    <w:rsid w:val="00F7215B"/>
    <w:rsid w:val="00F864BD"/>
    <w:rsid w:val="00F95179"/>
    <w:rsid w:val="00F9523B"/>
    <w:rsid w:val="00FD6150"/>
    <w:rsid w:val="00FE5D05"/>
    <w:rsid w:val="00FE5E7F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E59F9-7F02-4533-BA5E-E809D62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2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63C"/>
  </w:style>
  <w:style w:type="paragraph" w:styleId="Podnoje">
    <w:name w:val="footer"/>
    <w:basedOn w:val="Normal"/>
    <w:link w:val="Podno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63C"/>
  </w:style>
  <w:style w:type="character" w:styleId="Referencakomentara">
    <w:name w:val="annotation reference"/>
    <w:basedOn w:val="Zadanifontodlomka"/>
    <w:uiPriority w:val="99"/>
    <w:semiHidden/>
    <w:unhideWhenUsed/>
    <w:rsid w:val="00655C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5C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5CA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5C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5CA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C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BD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5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647A-FFEF-41DD-861D-0E8895D2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5</cp:revision>
  <dcterms:created xsi:type="dcterms:W3CDTF">2018-02-13T08:22:00Z</dcterms:created>
  <dcterms:modified xsi:type="dcterms:W3CDTF">2018-02-13T08:30:00Z</dcterms:modified>
</cp:coreProperties>
</file>